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55" w:rsidRDefault="009B79F4">
      <w:pPr>
        <w:spacing w:after="0" w:line="259" w:lineRule="auto"/>
        <w:ind w:left="192" w:firstLine="0"/>
        <w:jc w:val="center"/>
      </w:pPr>
      <w:r>
        <w:rPr>
          <w:noProof/>
        </w:rPr>
        <w:drawing>
          <wp:inline distT="0" distB="0" distL="0" distR="0">
            <wp:extent cx="850392" cy="85039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</w:t>
      </w:r>
    </w:p>
    <w:p w:rsidR="003B3F55" w:rsidRDefault="009B79F4">
      <w:pPr>
        <w:spacing w:after="29" w:line="259" w:lineRule="auto"/>
        <w:ind w:left="194" w:firstLine="0"/>
        <w:jc w:val="center"/>
      </w:pPr>
      <w:r>
        <w:rPr>
          <w:sz w:val="21"/>
        </w:rPr>
        <w:t xml:space="preserve"> </w:t>
      </w:r>
    </w:p>
    <w:p w:rsidR="003B3F55" w:rsidRDefault="009B79F4">
      <w:r>
        <w:t>Thank you for shipping with ACHQL Logistics!</w:t>
      </w:r>
      <w:r>
        <w:t xml:space="preserve"> We appreciate your business and want to provide the highest quality service at all times. Please be assured that while every effort </w:t>
      </w:r>
      <w:proofErr w:type="gramStart"/>
      <w:r>
        <w:t>is made</w:t>
      </w:r>
      <w:proofErr w:type="gramEnd"/>
      <w:r>
        <w:t xml:space="preserve"> to ensure safe delivery of your goods, sometimes loss and/o</w:t>
      </w:r>
      <w:r>
        <w:t>r damage does occur.</w:t>
      </w:r>
      <w:r>
        <w:t xml:space="preserve"> </w:t>
      </w:r>
    </w:p>
    <w:p w:rsidR="003B3F55" w:rsidRDefault="009B79F4">
      <w:pPr>
        <w:spacing w:after="23" w:line="259" w:lineRule="auto"/>
        <w:ind w:left="0" w:firstLine="0"/>
        <w:jc w:val="left"/>
      </w:pPr>
      <w:r>
        <w:t xml:space="preserve"> </w:t>
      </w:r>
    </w:p>
    <w:p w:rsidR="003B3F55" w:rsidRDefault="009B79F4">
      <w:pPr>
        <w:spacing w:after="0" w:line="259" w:lineRule="auto"/>
        <w:ind w:left="2580" w:firstLine="0"/>
        <w:jc w:val="left"/>
      </w:pPr>
      <w:proofErr w:type="gramStart"/>
      <w:r>
        <w:rPr>
          <w:sz w:val="20"/>
        </w:rPr>
        <w:t>ACHQL Logistic, LLC’s</w:t>
      </w:r>
      <w:r>
        <w:rPr>
          <w:sz w:val="20"/>
        </w:rPr>
        <w:t xml:space="preserve"> role and what you will recover should a loss occur</w:t>
      </w:r>
      <w:proofErr w:type="gramEnd"/>
      <w:r>
        <w:rPr>
          <w:sz w:val="20"/>
        </w:rPr>
        <w:t xml:space="preserve"> </w:t>
      </w:r>
    </w:p>
    <w:p w:rsidR="003B3F55" w:rsidRDefault="009B79F4">
      <w:pPr>
        <w:spacing w:after="0" w:line="259" w:lineRule="auto"/>
        <w:ind w:left="108"/>
        <w:jc w:val="left"/>
      </w:pPr>
      <w:r>
        <w:rPr>
          <w:sz w:val="18"/>
        </w:rPr>
        <w:t xml:space="preserve">Shipping by Ocean </w:t>
      </w:r>
    </w:p>
    <w:p w:rsidR="003B3F55" w:rsidRDefault="009B79F4">
      <w:pPr>
        <w:ind w:left="108"/>
      </w:pPr>
      <w:r>
        <w:t>While ACHQL</w:t>
      </w:r>
      <w:r>
        <w:t xml:space="preserve"> arranges for the transportation of your goods, by law, </w:t>
      </w:r>
      <w:proofErr w:type="gramStart"/>
      <w:r>
        <w:t>it is the carrier who</w:t>
      </w:r>
      <w:proofErr w:type="gramEnd"/>
      <w:r>
        <w:t xml:space="preserve"> bears responsibility for loss or damage to your fre</w:t>
      </w:r>
      <w:r>
        <w:t xml:space="preserve">ight. The </w:t>
      </w:r>
      <w:proofErr w:type="gramStart"/>
      <w:r>
        <w:t>carrier’s liability for freight moving over the ocean is governed by the Carriage of Goods by Sea Act (COGSA)</w:t>
      </w:r>
      <w:proofErr w:type="gramEnd"/>
      <w:r>
        <w:t xml:space="preserve">. Under the terms of COGSA, the most you could recover from shipping lines in the event they </w:t>
      </w:r>
      <w:proofErr w:type="gramStart"/>
      <w:r>
        <w:t>are proven</w:t>
      </w:r>
      <w:proofErr w:type="gramEnd"/>
      <w:r>
        <w:t xml:space="preserve"> negligent is $500 for each custom</w:t>
      </w:r>
      <w:r>
        <w:t xml:space="preserve">ary freight unit (CFU). Measurement of the CFU is widely defined, and it can vary from one container to one pallet. COGSA </w:t>
      </w:r>
      <w:proofErr w:type="gramStart"/>
      <w:r>
        <w:t>is centered</w:t>
      </w:r>
      <w:proofErr w:type="gramEnd"/>
      <w:r>
        <w:t xml:space="preserve"> on the liability of the carrier. At the heart of the concept of carrier liability is the idea that </w:t>
      </w:r>
      <w:r>
        <w:rPr>
          <w:u w:val="single" w:color="000000"/>
        </w:rPr>
        <w:t>the carrier is not resp</w:t>
      </w:r>
      <w:r>
        <w:rPr>
          <w:u w:val="single" w:color="000000"/>
        </w:rPr>
        <w:t>onsible for paying claims if they did not cause or contribute to the loss</w:t>
      </w:r>
      <w:r>
        <w:t xml:space="preserve">. In the event that Astra acts as an NVOCC and assumes carrier liability, recovery in the event of a claim </w:t>
      </w:r>
      <w:proofErr w:type="gramStart"/>
      <w:r>
        <w:t>is still limited</w:t>
      </w:r>
      <w:proofErr w:type="gramEnd"/>
      <w:r>
        <w:t xml:space="preserve"> by COGSA in the bill of lading terms and conditions.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t xml:space="preserve"> </w:t>
      </w:r>
    </w:p>
    <w:p w:rsidR="003B3F55" w:rsidRDefault="009B79F4">
      <w:pPr>
        <w:ind w:left="108"/>
      </w:pPr>
      <w:r>
        <w:t xml:space="preserve">In </w:t>
      </w:r>
      <w:r>
        <w:t xml:space="preserve">an effort to better define carrier liability, Hague-Visby rules </w:t>
      </w:r>
      <w:proofErr w:type="gramStart"/>
      <w:r>
        <w:t>were created</w:t>
      </w:r>
      <w:proofErr w:type="gramEnd"/>
      <w:r>
        <w:t xml:space="preserve"> to define 17 circumstances under which the carrier cannot be held liable. If </w:t>
      </w:r>
      <w:proofErr w:type="gramStart"/>
      <w:r>
        <w:t>a loss is caused by any one of the following defenses</w:t>
      </w:r>
      <w:proofErr w:type="gramEnd"/>
      <w:r>
        <w:t xml:space="preserve">; the ocean carrier will not pay for any part of </w:t>
      </w:r>
      <w:r>
        <w:t>the loss.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301" w:type="dxa"/>
        <w:tblInd w:w="37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3229"/>
      </w:tblGrid>
      <w:tr w:rsidR="003B3F55">
        <w:trPr>
          <w:trHeight w:val="176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2310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>Any neglect default of error of the carrier in navigation or of</w:t>
            </w:r>
            <w:r>
              <w:t xml:space="preserve">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3B3F55">
            <w:pPr>
              <w:spacing w:after="160" w:line="259" w:lineRule="auto"/>
              <w:ind w:left="0" w:firstLine="0"/>
              <w:jc w:val="left"/>
            </w:pPr>
          </w:p>
        </w:tc>
      </w:tr>
      <w:tr w:rsidR="003B3F55">
        <w:trPr>
          <w:trHeight w:val="195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spacing w:after="0" w:line="259" w:lineRule="auto"/>
              <w:ind w:left="329" w:firstLine="0"/>
              <w:jc w:val="left"/>
            </w:pPr>
            <w:r>
              <w:t xml:space="preserve">management of the ship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077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</w:r>
            <w:r>
              <w:t xml:space="preserve">Quarantine restrictions </w:t>
            </w:r>
          </w:p>
        </w:tc>
      </w:tr>
      <w:tr w:rsidR="003B3F55">
        <w:trPr>
          <w:trHeight w:val="223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466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Fire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696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  <w:t>Acts or omissions of the shipper or owner</w:t>
            </w:r>
            <w:r>
              <w:t xml:space="preserve"> </w:t>
            </w:r>
          </w:p>
        </w:tc>
      </w:tr>
      <w:tr w:rsidR="003B3F55">
        <w:trPr>
          <w:trHeight w:val="222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647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Perils or dangers of the sea (storms etc.)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449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  <w:t>Strikes, lockouts or labor shortage</w:t>
            </w:r>
            <w:r>
              <w:t xml:space="preserve"> </w:t>
            </w:r>
          </w:p>
        </w:tc>
      </w:tr>
      <w:tr w:rsidR="003B3F55">
        <w:trPr>
          <w:trHeight w:val="200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701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Act of God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181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  <w:t>Riots or civil commotions</w:t>
            </w:r>
            <w:r>
              <w:t xml:space="preserve"> </w:t>
            </w:r>
          </w:p>
        </w:tc>
      </w:tr>
      <w:tr w:rsidR="003B3F55">
        <w:trPr>
          <w:trHeight w:val="211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306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Act of War or public enemies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right" w:pos="3229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  <w:t>Inherent defect, quality or vice of the goods</w:t>
            </w:r>
            <w:r>
              <w:t xml:space="preserve"> </w:t>
            </w:r>
          </w:p>
        </w:tc>
      </w:tr>
      <w:tr w:rsidR="003B3F55">
        <w:trPr>
          <w:trHeight w:val="227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707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Defects not discoverable by due diligence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671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  <w:t>Attempting to save life or property at sea</w:t>
            </w:r>
            <w:r>
              <w:t xml:space="preserve"> </w:t>
            </w:r>
          </w:p>
        </w:tc>
      </w:tr>
      <w:tr w:rsidR="003B3F55">
        <w:trPr>
          <w:trHeight w:val="192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1193"/>
              </w:tabs>
              <w:spacing w:after="0" w:line="259" w:lineRule="auto"/>
              <w:ind w:left="0" w:firstLine="0"/>
              <w:jc w:val="left"/>
            </w:pPr>
            <w:r>
              <w:t xml:space="preserve"> </w:t>
            </w:r>
            <w:r>
              <w:tab/>
            </w:r>
            <w:r>
              <w:t xml:space="preserve">Arrest, restraint or seizure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3B3F55" w:rsidRDefault="009B79F4">
            <w:pPr>
              <w:tabs>
                <w:tab w:val="center" w:pos="987"/>
              </w:tabs>
              <w:spacing w:after="0" w:line="259" w:lineRule="auto"/>
              <w:ind w:left="0" w:firstLine="0"/>
              <w:jc w:val="left"/>
            </w:pPr>
            <w:r>
              <w:t></w:t>
            </w:r>
            <w:r>
              <w:t xml:space="preserve"> </w:t>
            </w:r>
            <w:r>
              <w:tab/>
            </w:r>
            <w:r>
              <w:t xml:space="preserve">Insufficient packing </w:t>
            </w:r>
          </w:p>
        </w:tc>
      </w:tr>
    </w:tbl>
    <w:p w:rsidR="003B3F55" w:rsidRDefault="009B79F4">
      <w:pPr>
        <w:spacing w:after="0" w:line="259" w:lineRule="auto"/>
        <w:ind w:left="0" w:firstLine="0"/>
        <w:jc w:val="left"/>
      </w:pPr>
      <w:r>
        <w:rPr>
          <w:sz w:val="17"/>
        </w:rPr>
        <w:t xml:space="preserve"> </w:t>
      </w:r>
    </w:p>
    <w:p w:rsidR="003B3F55" w:rsidRDefault="009B79F4">
      <w:pPr>
        <w:spacing w:after="0" w:line="259" w:lineRule="auto"/>
        <w:ind w:left="108"/>
        <w:jc w:val="left"/>
      </w:pPr>
      <w:r>
        <w:rPr>
          <w:sz w:val="18"/>
        </w:rPr>
        <w:t xml:space="preserve">Shipping by Air </w:t>
      </w:r>
    </w:p>
    <w:p w:rsidR="003B3F55" w:rsidRDefault="009B79F4">
      <w:pPr>
        <w:spacing w:after="35"/>
        <w:ind w:left="108" w:right="195"/>
      </w:pPr>
      <w:r>
        <w:t xml:space="preserve">Air carriers limit their liability in a similar fashion as ocean carriers. Under the Warsaw convention/Montreal Protocol 4, carriers will pay 17 SDRs (about $26) per kilogram only if it </w:t>
      </w:r>
      <w:proofErr w:type="gramStart"/>
      <w:r>
        <w:t>can be proven</w:t>
      </w:r>
      <w:proofErr w:type="gramEnd"/>
      <w:r>
        <w:t xml:space="preserve"> they were negligent. Once again, the burden of proof is </w:t>
      </w:r>
      <w:r>
        <w:t>on the shipper, and it is often difficult to prove that the carrier was at fault.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B3F55" w:rsidRDefault="009B79F4">
      <w:pPr>
        <w:spacing w:after="0" w:line="259" w:lineRule="auto"/>
        <w:ind w:left="171" w:right="8"/>
        <w:jc w:val="center"/>
      </w:pPr>
      <w:r>
        <w:rPr>
          <w:sz w:val="20"/>
        </w:rPr>
        <w:t xml:space="preserve">How Can You Protect Yourself?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3B3F55" w:rsidRDefault="009B79F4">
      <w:pPr>
        <w:spacing w:after="49" w:line="247" w:lineRule="auto"/>
        <w:ind w:left="113" w:firstLine="0"/>
        <w:jc w:val="left"/>
      </w:pPr>
      <w:r>
        <w:t xml:space="preserve">“All Risk” Shipper’s Interest Coverage provides the owner of the cargo with coverage for direct physical loss or damage to the cargo without the need to prove liability. If a loss occurs; you will be paid directly and </w:t>
      </w:r>
      <w:proofErr w:type="gramStart"/>
      <w:r>
        <w:t>any recovery possible from the carrier</w:t>
      </w:r>
      <w:r>
        <w:t xml:space="preserve"> will be handled by our subrogation specialists</w:t>
      </w:r>
      <w:proofErr w:type="gramEnd"/>
      <w:r>
        <w:t>.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B3F55" w:rsidRDefault="009B79F4">
      <w:pPr>
        <w:spacing w:after="0" w:line="259" w:lineRule="auto"/>
        <w:ind w:left="171" w:right="4"/>
        <w:jc w:val="center"/>
      </w:pPr>
      <w:r>
        <w:rPr>
          <w:sz w:val="20"/>
        </w:rPr>
        <w:t>Advantages of Insuring Your Cargo through the ACHQL Logistics</w:t>
      </w:r>
      <w:r>
        <w:rPr>
          <w:sz w:val="20"/>
        </w:rPr>
        <w:t xml:space="preserve"> </w:t>
      </w:r>
    </w:p>
    <w:p w:rsidR="003B3F55" w:rsidRDefault="009B79F4">
      <w:pPr>
        <w:spacing w:after="0" w:line="259" w:lineRule="auto"/>
        <w:ind w:left="171"/>
        <w:jc w:val="center"/>
      </w:pPr>
      <w:r>
        <w:rPr>
          <w:sz w:val="20"/>
        </w:rPr>
        <w:t xml:space="preserve">Policy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3B3F55" w:rsidRDefault="009B79F4">
      <w:pPr>
        <w:numPr>
          <w:ilvl w:val="0"/>
          <w:numId w:val="1"/>
        </w:numPr>
        <w:ind w:left="771" w:hanging="329"/>
      </w:pPr>
      <w:r>
        <w:t xml:space="preserve">Covered Losses </w:t>
      </w:r>
      <w:proofErr w:type="gramStart"/>
      <w:r>
        <w:t>are paid</w:t>
      </w:r>
      <w:proofErr w:type="gramEnd"/>
      <w:r>
        <w:t xml:space="preserve"> without the need to prove carrier negligence. After your loss is paid, we work with the carriers to ensu</w:t>
      </w:r>
      <w:r>
        <w:t>re your historical losses are minimized</w:t>
      </w:r>
      <w:r>
        <w:t xml:space="preserve"> </w:t>
      </w:r>
    </w:p>
    <w:p w:rsidR="003B3F55" w:rsidRDefault="009B79F4">
      <w:pPr>
        <w:numPr>
          <w:ilvl w:val="0"/>
          <w:numId w:val="1"/>
        </w:numPr>
        <w:spacing w:after="31"/>
        <w:ind w:left="771" w:hanging="329"/>
      </w:pPr>
      <w:r>
        <w:t>Astra can offer broad coverage at competitive rates</w:t>
      </w:r>
      <w:r>
        <w:t xml:space="preserve"> </w:t>
      </w:r>
    </w:p>
    <w:p w:rsidR="003B3F55" w:rsidRDefault="009B79F4">
      <w:pPr>
        <w:numPr>
          <w:ilvl w:val="0"/>
          <w:numId w:val="1"/>
        </w:numPr>
        <w:spacing w:after="25"/>
        <w:ind w:left="771" w:hanging="329"/>
      </w:pPr>
      <w:r>
        <w:t>Claim payments based on insured value, not weight of pieces missing/damaged or Carrier’s limited liability</w:t>
      </w:r>
      <w:r>
        <w:t xml:space="preserve"> </w:t>
      </w:r>
      <w:r>
        <w:t xml:space="preserve"> </w:t>
      </w:r>
      <w:r>
        <w:tab/>
      </w:r>
      <w:r>
        <w:t>Astra will report and handle claims on your behalf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3B3F55" w:rsidRDefault="009B79F4">
      <w:pPr>
        <w:spacing w:after="0" w:line="259" w:lineRule="auto"/>
        <w:ind w:left="171" w:right="8"/>
        <w:jc w:val="center"/>
      </w:pPr>
      <w:r>
        <w:rPr>
          <w:sz w:val="20"/>
        </w:rPr>
        <w:t xml:space="preserve">Please tell us how you would like to proceed: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B3F55" w:rsidRDefault="009B79F4">
      <w:pPr>
        <w:tabs>
          <w:tab w:val="center" w:pos="2591"/>
          <w:tab w:val="center" w:pos="7392"/>
        </w:tabs>
        <w:spacing w:after="11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135636" cy="13716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 </w:t>
      </w:r>
      <w:r>
        <w:t xml:space="preserve">I wish to insure all of my shipments. </w:t>
      </w:r>
      <w:r>
        <w:tab/>
      </w:r>
      <w:r>
        <w:rPr>
          <w:noProof/>
        </w:rPr>
        <w:drawing>
          <wp:inline distT="0" distB="0" distL="0" distR="0">
            <wp:extent cx="135636" cy="135636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I insure my shipments under my own policy </w:t>
      </w:r>
    </w:p>
    <w:p w:rsidR="003B3F55" w:rsidRDefault="009B79F4">
      <w:pPr>
        <w:spacing w:after="155" w:line="259" w:lineRule="auto"/>
        <w:ind w:left="0" w:right="303" w:firstLine="0"/>
        <w:jc w:val="center"/>
      </w:pPr>
      <w:r>
        <w:rPr>
          <w:noProof/>
        </w:rPr>
        <w:drawing>
          <wp:inline distT="0" distB="0" distL="0" distR="0">
            <wp:extent cx="135636" cy="135636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I do not wish to insure my shipments and I understand that my recovery will be limited in the event of loss</w:t>
      </w:r>
      <w: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3B3F55" w:rsidRDefault="009B79F4">
      <w:pPr>
        <w:spacing w:after="23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3B3F55" w:rsidRDefault="009B79F4">
      <w:pPr>
        <w:spacing w:after="37" w:line="259" w:lineRule="auto"/>
        <w:ind w:left="1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2556" cy="4573"/>
                <wp:effectExtent l="0" t="0" r="0" b="0"/>
                <wp:docPr id="1989" name="Group 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556" cy="4573"/>
                          <a:chOff x="0" y="0"/>
                          <a:chExt cx="5972556" cy="4573"/>
                        </a:xfrm>
                      </wpg:grpSpPr>
                      <wps:wsp>
                        <wps:cNvPr id="2192" name="Shape 2192"/>
                        <wps:cNvSpPr/>
                        <wps:spPr>
                          <a:xfrm>
                            <a:off x="3764280" y="0"/>
                            <a:ext cx="2208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276" h="9144">
                                <a:moveTo>
                                  <a:pt x="0" y="0"/>
                                </a:moveTo>
                                <a:lnTo>
                                  <a:pt x="2208276" y="0"/>
                                </a:lnTo>
                                <a:lnTo>
                                  <a:pt x="2208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0" y="0"/>
                            <a:ext cx="2962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656" h="9144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  <a:lnTo>
                                  <a:pt x="2962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9" style="width:470.28pt;height:0.360046pt;mso-position-horizontal-relative:char;mso-position-vertical-relative:line" coordsize="59725,45">
                <v:shape id="Shape 2194" style="position:absolute;width:22082;height:91;left:37642;top:0;" coordsize="2208276,9144" path="m0,0l2208276,0l2208276,9144l0,9144l0,0">
                  <v:stroke weight="0pt" endcap="flat" joinstyle="miter" miterlimit="10" on="false" color="#000000" opacity="0"/>
                  <v:fill on="true" color="#000000"/>
                </v:shape>
                <v:shape id="Shape 2195" style="position:absolute;width:29626;height:91;left:0;top:0;" coordsize="2962656,9144" path="m0,0l2962656,0l29626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B3F55" w:rsidRDefault="009B79F4">
      <w:pPr>
        <w:tabs>
          <w:tab w:val="center" w:pos="6542"/>
        </w:tabs>
        <w:spacing w:after="0" w:line="259" w:lineRule="auto"/>
        <w:ind w:left="0" w:firstLine="0"/>
        <w:jc w:val="left"/>
      </w:pPr>
      <w:r>
        <w:rPr>
          <w:sz w:val="18"/>
        </w:rPr>
        <w:lastRenderedPageBreak/>
        <w:t xml:space="preserve">Signature, Title/Date </w:t>
      </w:r>
      <w:r>
        <w:rPr>
          <w:sz w:val="18"/>
        </w:rPr>
        <w:tab/>
        <w:t xml:space="preserve">Printed Name </w:t>
      </w:r>
    </w:p>
    <w:p w:rsidR="003B3F55" w:rsidRDefault="009B79F4">
      <w:pPr>
        <w:spacing w:after="0" w:line="259" w:lineRule="auto"/>
        <w:ind w:left="0" w:firstLine="0"/>
        <w:jc w:val="left"/>
      </w:pPr>
      <w:r>
        <w:rPr>
          <w:sz w:val="17"/>
        </w:rPr>
        <w:t xml:space="preserve"> </w:t>
      </w:r>
    </w:p>
    <w:p w:rsidR="003B3F55" w:rsidRDefault="009B79F4">
      <w:pPr>
        <w:spacing w:after="4" w:line="255" w:lineRule="auto"/>
        <w:ind w:left="108"/>
        <w:jc w:val="left"/>
      </w:pPr>
      <w:r>
        <w:rPr>
          <w:sz w:val="13"/>
        </w:rPr>
        <w:t xml:space="preserve">This summary provided for informational purposes. It does not grant or extend coverage. All coverage </w:t>
      </w:r>
      <w:proofErr w:type="gramStart"/>
      <w:r>
        <w:rPr>
          <w:sz w:val="13"/>
        </w:rPr>
        <w:t>is governed</w:t>
      </w:r>
      <w:proofErr w:type="gramEnd"/>
      <w:r>
        <w:rPr>
          <w:sz w:val="13"/>
        </w:rPr>
        <w:t xml:space="preserve"> by the terms and conditions set forth in the policy (text available upon request). ACHQL</w:t>
      </w:r>
      <w:r>
        <w:rPr>
          <w:sz w:val="13"/>
        </w:rPr>
        <w:t xml:space="preserve"> is not the insurance company. ACHQL</w:t>
      </w:r>
      <w:r>
        <w:rPr>
          <w:sz w:val="13"/>
        </w:rPr>
        <w:t xml:space="preserve"> purchases insuranc</w:t>
      </w:r>
      <w:r>
        <w:rPr>
          <w:sz w:val="13"/>
        </w:rPr>
        <w:t xml:space="preserve">e for its clients from EPIC Insurance Brokers/Navigators Insurance Company. </w:t>
      </w:r>
    </w:p>
    <w:p w:rsidR="003B3F55" w:rsidRDefault="009B79F4">
      <w:pPr>
        <w:spacing w:after="4" w:line="255" w:lineRule="auto"/>
        <w:ind w:left="108"/>
        <w:jc w:val="left"/>
      </w:pPr>
      <w:proofErr w:type="gramStart"/>
      <w:r>
        <w:rPr>
          <w:sz w:val="13"/>
        </w:rPr>
        <w:t>ACHQL’s</w:t>
      </w:r>
      <w:bookmarkStart w:id="0" w:name="_GoBack"/>
      <w:bookmarkEnd w:id="0"/>
      <w:r>
        <w:rPr>
          <w:sz w:val="13"/>
        </w:rPr>
        <w:t xml:space="preserve"> liability is dictated by its Terms and Conditions of Service, copy available upon request</w:t>
      </w:r>
      <w:proofErr w:type="gramEnd"/>
      <w:r>
        <w:rPr>
          <w:sz w:val="10"/>
        </w:rPr>
        <w:t xml:space="preserve">. </w:t>
      </w:r>
    </w:p>
    <w:sectPr w:rsidR="003B3F55">
      <w:pgSz w:w="12240" w:h="15840"/>
      <w:pgMar w:top="674" w:right="1223" w:bottom="1440" w:left="1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7EC2"/>
    <w:multiLevelType w:val="hybridMultilevel"/>
    <w:tmpl w:val="3EAE1C0C"/>
    <w:lvl w:ilvl="0" w:tplc="5E4AB130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E6426C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263DBE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C4E27E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DA2D82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6A6E0C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902B30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948690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7C539C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55"/>
    <w:rsid w:val="003B3F55"/>
    <w:rsid w:val="009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1AE1"/>
  <w15:docId w15:val="{A4EFD807-1E1E-4BB1-BAB9-310D6701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3396</Characters>
  <Application>Microsoft Office Word</Application>
  <DocSecurity>0</DocSecurity>
  <Lines>28</Lines>
  <Paragraphs>7</Paragraphs>
  <ScaleCrop>false</ScaleCrop>
  <Company>Daimler AG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Shipper Insurance Letter.docx</dc:title>
  <dc:subject/>
  <dc:creator>John.Farrell</dc:creator>
  <cp:keywords/>
  <cp:lastModifiedBy>West, Drew (138-Extern-Computacenter)</cp:lastModifiedBy>
  <cp:revision>2</cp:revision>
  <dcterms:created xsi:type="dcterms:W3CDTF">2022-01-14T18:36:00Z</dcterms:created>
  <dcterms:modified xsi:type="dcterms:W3CDTF">2022-01-14T18:36:00Z</dcterms:modified>
</cp:coreProperties>
</file>